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Open Sans Light" w:cs="Open Sans Light" w:eastAsia="Open Sans Light" w:hAnsi="Open Sans Light"/>
          <w:b w:val="1"/>
          <w:color w:val="000000"/>
        </w:rPr>
      </w:pPr>
      <w:r w:rsidDel="00000000" w:rsidR="00000000" w:rsidRPr="00000000">
        <w:rPr>
          <w:rFonts w:ascii="Open Sans Light" w:cs="Open Sans Light" w:eastAsia="Open Sans Light" w:hAnsi="Open Sans Light"/>
          <w:b w:val="1"/>
          <w:color w:val="000000"/>
          <w:rtl w:val="0"/>
        </w:rPr>
        <w:t xml:space="preserve">Allegato 1  -  Domanda di partecipazione </w:t>
      </w:r>
    </w:p>
    <w:p w:rsidR="00000000" w:rsidDel="00000000" w:rsidP="00000000" w:rsidRDefault="00000000" w:rsidRPr="00000000" w14:paraId="00000002">
      <w:pPr>
        <w:shd w:fill="4472c4" w:val="clear"/>
        <w:jc w:val="both"/>
        <w:rPr>
          <w:rFonts w:ascii="Open Sans Light" w:cs="Open Sans Light" w:eastAsia="Open Sans Light" w:hAnsi="Open Sans Light"/>
          <w:i w:val="1"/>
          <w:color w:val="ffffff"/>
          <w:sz w:val="20"/>
          <w:szCs w:val="20"/>
        </w:rPr>
      </w:pPr>
      <w:r w:rsidDel="00000000" w:rsidR="00000000" w:rsidRPr="00000000">
        <w:rPr>
          <w:rFonts w:ascii="Open Sans Light" w:cs="Open Sans Light" w:eastAsia="Open Sans Light" w:hAnsi="Open Sans Light"/>
          <w:b w:val="1"/>
          <w:i w:val="1"/>
          <w:color w:val="ffffff"/>
          <w:sz w:val="20"/>
          <w:szCs w:val="20"/>
          <w:rtl w:val="0"/>
        </w:rPr>
        <w:t xml:space="preserve">(da presentare in bollo nel rispetto di quanto stabilito dal Decreto del Presidente della Repubblica n. 642/72)</w:t>
      </w:r>
      <w:r w:rsidDel="00000000" w:rsidR="00000000" w:rsidRPr="00000000">
        <w:rPr>
          <w:rFonts w:ascii="Open Sans Light" w:cs="Open Sans Light" w:eastAsia="Open Sans Light" w:hAnsi="Open Sans Light"/>
          <w:b w:val="1"/>
          <w:i w:val="1"/>
          <w:color w:val="ffffff"/>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3">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Le dichiarazioni sostitutive di certificazioni e dell’atto di notorietà sono rese ai sensi degli artt. 46 e 47 del T.U. approvato con D.P.R. 28.12.2000, n. 445</w:t>
      </w:r>
    </w:p>
    <w:p w:rsidR="00000000" w:rsidDel="00000000" w:rsidP="00000000" w:rsidRDefault="00000000" w:rsidRPr="00000000" w14:paraId="00000004">
      <w:pPr>
        <w:spacing w:after="240" w:line="240"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OGGETTO: PROCEDURA APERTA, SUDDIVISA IN LOTTI FUNZIONALI, PER LA CONCLUSIONE DI ACCORDI QUADRO CIASCUNO CON UN OPERATORE ECONOMICO, PER L’AFFIDAMENTO DEI SERVIZI DI FORMULAZIONE DI PARERI DI CONGRUITÀ VALUTATIVA E DI ATTIVITÀ DI DUE DILIGENCE FINANZIARIA-FISCALE NELL’AMBITO DELLA VALUTAZIONE DI PROGETTI SOTTOPOSTI ALLA FONDAZIONE ENEA TECH E BIOMEDICAL. CIG. B236071E46; CIG B236072F19.</w:t>
      </w:r>
    </w:p>
    <w:p w:rsidR="00000000" w:rsidDel="00000000" w:rsidP="00000000" w:rsidRDefault="00000000" w:rsidRPr="00000000" w14:paraId="00000005">
      <w:pPr>
        <w:jc w:val="both"/>
        <w:rPr>
          <w:rFonts w:ascii="Open Sans Light" w:cs="Open Sans Light" w:eastAsia="Open Sans Light" w:hAnsi="Open Sans Light"/>
          <w:sz w:val="20"/>
          <w:szCs w:val="20"/>
        </w:rPr>
      </w:pPr>
      <w:r w:rsidDel="00000000" w:rsidR="00000000" w:rsidRPr="00000000">
        <w:rPr>
          <w:rtl w:val="0"/>
        </w:rPr>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6852"/>
        <w:tblGridChange w:id="0">
          <w:tblGrid>
            <w:gridCol w:w="2641"/>
            <w:gridCol w:w="6852"/>
          </w:tblGrid>
        </w:tblGridChange>
      </w:tblGrid>
      <w:tr>
        <w:trPr>
          <w:cantSplit w:val="0"/>
          <w:tblHeader w:val="0"/>
        </w:trPr>
        <w:tc>
          <w:tcPr>
            <w:shd w:fill="4472c4" w:val="clear"/>
          </w:tcPr>
          <w:p w:rsidR="00000000" w:rsidDel="00000000" w:rsidP="00000000" w:rsidRDefault="00000000" w:rsidRPr="00000000" w14:paraId="00000006">
            <w:pPr>
              <w:spacing w:after="0" w:line="240"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Denominazione Operatore economico</w:t>
            </w:r>
          </w:p>
        </w:tc>
        <w:tc>
          <w:tcPr>
            <w:shd w:fill="ffffff" w:val="clear"/>
          </w:tcPr>
          <w:p w:rsidR="00000000" w:rsidDel="00000000" w:rsidP="00000000" w:rsidRDefault="00000000" w:rsidRPr="00000000" w14:paraId="00000007">
            <w:pPr>
              <w:spacing w:after="0" w:line="240" w:lineRule="auto"/>
              <w:jc w:val="both"/>
              <w:rPr>
                <w:rFonts w:ascii="Open Sans Light" w:cs="Open Sans Light" w:eastAsia="Open Sans Light" w:hAnsi="Open Sans Light"/>
                <w:color w:val="ffffff"/>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8">
            <w:pPr>
              <w:spacing w:after="0" w:line="240"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color w:val="ffffff"/>
                <w:sz w:val="20"/>
                <w:szCs w:val="20"/>
                <w:rtl w:val="0"/>
              </w:rPr>
              <w:t xml:space="preserve">Tipologia societaria</w:t>
            </w:r>
            <w:r w:rsidDel="00000000" w:rsidR="00000000" w:rsidRPr="00000000">
              <w:rPr>
                <w:rtl w:val="0"/>
              </w:rPr>
            </w:r>
          </w:p>
        </w:tc>
        <w:tc>
          <w:tcPr/>
          <w:p w:rsidR="00000000" w:rsidDel="00000000" w:rsidP="00000000" w:rsidRDefault="00000000" w:rsidRPr="00000000" w14:paraId="00000009">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A">
            <w:pPr>
              <w:spacing w:after="0" w:line="240"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color w:val="ffffff"/>
                <w:sz w:val="20"/>
                <w:szCs w:val="20"/>
                <w:rtl w:val="0"/>
              </w:rPr>
              <w:t xml:space="preserve">Partita IVA/Codice fiscale</w:t>
            </w:r>
            <w:r w:rsidDel="00000000" w:rsidR="00000000" w:rsidRPr="00000000">
              <w:rPr>
                <w:rtl w:val="0"/>
              </w:rPr>
            </w:r>
          </w:p>
        </w:tc>
        <w:tc>
          <w:tcPr/>
          <w:p w:rsidR="00000000" w:rsidDel="00000000" w:rsidP="00000000" w:rsidRDefault="00000000" w:rsidRPr="00000000" w14:paraId="0000000B">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C">
            <w:pPr>
              <w:spacing w:after="0" w:line="240"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Forma di partecipazione alla procedura</w:t>
            </w:r>
          </w:p>
        </w:tc>
        <w:tc>
          <w:tcPr/>
          <w:p w:rsidR="00000000" w:rsidDel="00000000" w:rsidP="00000000" w:rsidRDefault="00000000" w:rsidRPr="00000000" w14:paraId="0000000D">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0E">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0F">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Il/La sottoscritto/a </w:t>
      </w:r>
      <w:r w:rsidDel="00000000" w:rsidR="00000000" w:rsidRPr="00000000">
        <w:rPr>
          <w:rFonts w:ascii="Open Sans Light" w:cs="Open Sans Light" w:eastAsia="Open Sans Light" w:hAnsi="Open Sans Light"/>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0">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nella sua qualifica di: </w:t>
      </w:r>
    </w:p>
    <w:p w:rsidR="00000000" w:rsidDel="00000000" w:rsidP="00000000" w:rsidRDefault="00000000" w:rsidRPr="00000000" w14:paraId="00000011">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Legale Rappresentante </w:t>
      </w:r>
    </w:p>
    <w:p w:rsidR="00000000" w:rsidDel="00000000" w:rsidP="00000000" w:rsidRDefault="00000000" w:rsidRPr="00000000" w14:paraId="00000012">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Institore </w:t>
      </w:r>
    </w:p>
    <w:p w:rsidR="00000000" w:rsidDel="00000000" w:rsidP="00000000" w:rsidRDefault="00000000" w:rsidRPr="00000000" w14:paraId="00000013">
      <w:pPr>
        <w:ind w:left="284" w:hanging="284"/>
        <w:jc w:val="both"/>
        <w:rPr>
          <w:rFonts w:ascii="Open Sans Light" w:cs="Open Sans Light" w:eastAsia="Open Sans Light" w:hAnsi="Open Sans Light"/>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Procuratore speciale o generale con mandato di rappresentanza con firma disgiunta </w:t>
      </w:r>
      <w:r w:rsidDel="00000000" w:rsidR="00000000" w:rsidRPr="00000000">
        <w:rPr>
          <w:rFonts w:ascii="Open Sans Light" w:cs="Open Sans Light" w:eastAsia="Open Sans Light" w:hAnsi="Open Sans Light"/>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4">
      <w:pPr>
        <w:ind w:left="284" w:hanging="284"/>
        <w:jc w:val="both"/>
        <w:rPr>
          <w:rFonts w:ascii="Open Sans Light" w:cs="Open Sans Light" w:eastAsia="Open Sans Light" w:hAnsi="Open Sans Light"/>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Procuratore speciale o generale con mandato di rappresentanza con firma congiunta della ditta che rappresenta </w:t>
      </w:r>
      <w:r w:rsidDel="00000000" w:rsidR="00000000" w:rsidRPr="00000000">
        <w:rPr>
          <w:rFonts w:ascii="Open Sans Light" w:cs="Open Sans Light" w:eastAsia="Open Sans Light" w:hAnsi="Open Sans Light"/>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5">
      <w:pPr>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16">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Chiede di partecipare in qualità di:</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i w:val="1"/>
          <w:color w:val="000000"/>
          <w:sz w:val="20"/>
          <w:szCs w:val="20"/>
          <w:rtl w:val="0"/>
        </w:rPr>
        <w:t xml:space="preserve">operatore singolo</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raggruppamento temporaneo </w:t>
      </w:r>
      <w:r w:rsidDel="00000000" w:rsidR="00000000" w:rsidRPr="00000000">
        <w:rPr>
          <w:rFonts w:ascii="Open Sans Light" w:cs="Open Sans Light" w:eastAsia="Open Sans Light" w:hAnsi="Open Sans Light"/>
          <w:i w:val="1"/>
          <w:color w:val="000000"/>
          <w:sz w:val="20"/>
          <w:szCs w:val="20"/>
          <w:rtl w:val="0"/>
        </w:rPr>
        <w:t xml:space="preserve">(indicare se costituito o costituendo)</w:t>
      </w:r>
      <w:r w:rsidDel="00000000" w:rsidR="00000000" w:rsidRPr="00000000">
        <w:rPr>
          <w:rFonts w:ascii="Open Sans Light" w:cs="Open Sans Light" w:eastAsia="Open Sans Light" w:hAnsi="Open Sans Light"/>
          <w:color w:val="000000"/>
          <w:sz w:val="20"/>
          <w:szCs w:val="20"/>
          <w:rtl w:val="0"/>
        </w:rPr>
        <w:t xml:space="preserve"> formato da: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(indicare i ruoli ricoperti)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Consorzio stabile </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Consorzio tra società cooperative </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Consorzio tra imprese artigiane </w:t>
      </w:r>
      <w:r w:rsidDel="00000000" w:rsidR="00000000" w:rsidRPr="00000000">
        <w:rPr>
          <w:rtl w:val="0"/>
        </w:rPr>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Consorzio ordinario </w:t>
      </w:r>
      <w:r w:rsidDel="00000000" w:rsidR="00000000" w:rsidRPr="00000000">
        <w:rPr>
          <w:rFonts w:ascii="Open Sans Light" w:cs="Open Sans Light" w:eastAsia="Open Sans Light" w:hAnsi="Open Sans Light"/>
          <w:i w:val="1"/>
          <w:color w:val="000000"/>
          <w:sz w:val="20"/>
          <w:szCs w:val="20"/>
          <w:rtl w:val="0"/>
        </w:rPr>
        <w:t xml:space="preserve">(indicare se costituito o costituendo)</w:t>
      </w:r>
      <w:r w:rsidDel="00000000" w:rsidR="00000000" w:rsidRPr="00000000">
        <w:rPr>
          <w:rFonts w:ascii="Open Sans Light" w:cs="Open Sans Light" w:eastAsia="Open Sans Light" w:hAnsi="Open Sans Light"/>
          <w:color w:val="000000"/>
          <w:sz w:val="20"/>
          <w:szCs w:val="20"/>
          <w:rtl w:val="0"/>
        </w:rPr>
        <w:t xml:space="preserve"> </w:t>
      </w:r>
      <w:r w:rsidDel="00000000" w:rsidR="00000000" w:rsidRPr="00000000">
        <w:rPr>
          <w:rtl w:val="0"/>
        </w:rPr>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Rete dotata di organo comune </w:t>
      </w:r>
      <w:r w:rsidDel="00000000" w:rsidR="00000000" w:rsidRPr="00000000">
        <w:rPr>
          <w:rtl w:val="0"/>
        </w:rPr>
      </w:r>
    </w:p>
    <w:p w:rsidR="00000000" w:rsidDel="00000000" w:rsidP="00000000" w:rsidRDefault="00000000" w:rsidRPr="00000000" w14:paraId="0000001E">
      <w:pPr>
        <w:numPr>
          <w:ilvl w:val="0"/>
          <w:numId w:val="7"/>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Rete sprovvista di organo comune o con organo comune privo di rappresentanza</w:t>
      </w:r>
      <w:r w:rsidDel="00000000" w:rsidR="00000000" w:rsidRPr="00000000">
        <w:rPr>
          <w:rtl w:val="0"/>
        </w:rPr>
      </w:r>
    </w:p>
    <w:p w:rsidR="00000000" w:rsidDel="00000000" w:rsidP="00000000" w:rsidRDefault="00000000" w:rsidRPr="00000000" w14:paraId="0000001F">
      <w:pPr>
        <w:numPr>
          <w:ilvl w:val="0"/>
          <w:numId w:val="7"/>
        </w:numPr>
        <w:pBdr>
          <w:top w:space="0" w:sz="0" w:val="nil"/>
          <w:left w:space="0" w:sz="0" w:val="nil"/>
          <w:bottom w:space="0" w:sz="0" w:val="nil"/>
          <w:right w:space="0" w:sz="0" w:val="nil"/>
          <w:between w:space="0" w:sz="0" w:val="nil"/>
        </w:pBdr>
        <w:spacing w:after="0" w:lineRule="auto"/>
        <w:ind w:left="284" w:hanging="284"/>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GEIE </w:t>
      </w:r>
      <w:r w:rsidDel="00000000" w:rsidR="00000000" w:rsidRPr="00000000">
        <w:rPr>
          <w:rtl w:val="0"/>
        </w:rPr>
      </w:r>
    </w:p>
    <w:p w:rsidR="00000000" w:rsidDel="00000000" w:rsidP="00000000" w:rsidRDefault="00000000" w:rsidRPr="00000000" w14:paraId="00000020">
      <w:pPr>
        <w:numPr>
          <w:ilvl w:val="0"/>
          <w:numId w:val="7"/>
        </w:numPr>
        <w:pBdr>
          <w:top w:space="0" w:sz="0" w:val="nil"/>
          <w:left w:space="0" w:sz="0" w:val="nil"/>
          <w:bottom w:space="0" w:sz="0" w:val="nil"/>
          <w:right w:space="0" w:sz="0" w:val="nil"/>
          <w:between w:space="0" w:sz="0" w:val="nil"/>
        </w:pBdr>
        <w:ind w:left="284" w:hanging="284"/>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altro (</w:t>
      </w:r>
      <w:r w:rsidDel="00000000" w:rsidR="00000000" w:rsidRPr="00000000">
        <w:rPr>
          <w:rFonts w:ascii="Open Sans Light" w:cs="Open Sans Light" w:eastAsia="Open Sans Light" w:hAnsi="Open Sans Light"/>
          <w:i w:val="1"/>
          <w:color w:val="000000"/>
          <w:sz w:val="20"/>
          <w:szCs w:val="20"/>
          <w:rtl w:val="0"/>
        </w:rPr>
        <w:t xml:space="preserve">indicare altre, eventuali forme di partecipazione previste dalla normativa speciale di settore).</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Al/i Lotto/i</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Open Sans Light" w:cs="Open Sans Light" w:eastAsia="Open Sans Light" w:hAnsi="Open Sans Light"/>
          <w:b w:val="0"/>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Lotto 1</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284" w:right="0" w:hanging="284"/>
        <w:jc w:val="both"/>
        <w:rPr>
          <w:rFonts w:ascii="Open Sans Light" w:cs="Open Sans Light" w:eastAsia="Open Sans Light" w:hAnsi="Open Sans Light"/>
          <w:b w:val="0"/>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Lotto 2</w:t>
      </w:r>
    </w:p>
    <w:p w:rsidR="00000000" w:rsidDel="00000000" w:rsidP="00000000" w:rsidRDefault="00000000" w:rsidRPr="00000000" w14:paraId="00000024">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rsidR="00000000" w:rsidDel="00000000" w:rsidP="00000000" w:rsidRDefault="00000000" w:rsidRPr="00000000" w14:paraId="00000025">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26">
      <w:pPr>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 (Compilare soltanto i campi di interesse)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720"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28">
      <w:pPr>
        <w:numPr>
          <w:ilvl w:val="0"/>
          <w:numId w:val="9"/>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partecipazione in forma associata o in più forme diverse</w:t>
      </w:r>
    </w:p>
    <w:p w:rsidR="00000000" w:rsidDel="00000000" w:rsidP="00000000" w:rsidRDefault="00000000" w:rsidRPr="00000000" w14:paraId="00000029">
      <w:pPr>
        <w:spacing w:after="60" w:before="60" w:line="276" w:lineRule="auto"/>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(Per tutti i consorzi, i raggruppamenti temporanei e i GEIE, già costituiti e costituendi)</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le seguenti parti/percentuali del servizio/fornitura saranno eseguite dagli operatori economici di seguito indicati:</w:t>
      </w:r>
    </w:p>
    <w:p w:rsidR="00000000" w:rsidDel="00000000" w:rsidP="00000000" w:rsidRDefault="00000000" w:rsidRPr="00000000" w14:paraId="0000002B">
      <w:pPr>
        <w:spacing w:after="60" w:before="60" w:line="276" w:lineRule="auto"/>
        <w:ind w:left="426" w:firstLine="0"/>
        <w:jc w:val="both"/>
        <w:rPr>
          <w:rFonts w:ascii="Open Sans Light" w:cs="Open Sans Light" w:eastAsia="Open Sans Light" w:hAnsi="Open Sans Light"/>
          <w:b w:val="1"/>
          <w:sz w:val="20"/>
          <w:szCs w:val="20"/>
        </w:rPr>
      </w:pPr>
      <w:r w:rsidDel="00000000" w:rsidR="00000000" w:rsidRPr="00000000">
        <w:rPr>
          <w:rFonts w:ascii="Open Sans Light" w:cs="Open Sans Light" w:eastAsia="Open Sans Light" w:hAnsi="Open Sans Light"/>
          <w:b w:val="1"/>
          <w:sz w:val="20"/>
          <w:szCs w:val="20"/>
          <w:rtl w:val="0"/>
        </w:rPr>
        <w:t xml:space="preserve">In caso di raggruppamenti art. 65 comma 2 lett. e) del Codice e consorzi ordinari</w:t>
      </w:r>
    </w:p>
    <w:tbl>
      <w:tblPr>
        <w:tblStyle w:val="Table2"/>
        <w:tblW w:w="920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09"/>
        <w:gridCol w:w="2761"/>
        <w:tblGridChange w:id="0">
          <w:tblGrid>
            <w:gridCol w:w="3237"/>
            <w:gridCol w:w="3209"/>
            <w:gridCol w:w="2761"/>
          </w:tblGrid>
        </w:tblGridChange>
      </w:tblGrid>
      <w:tr>
        <w:trPr>
          <w:cantSplit w:val="0"/>
          <w:tblHeader w:val="0"/>
        </w:trPr>
        <w:tc>
          <w:tcPr>
            <w:shd w:fill="4472c4" w:val="clear"/>
          </w:tcPr>
          <w:p w:rsidR="00000000" w:rsidDel="00000000" w:rsidP="00000000" w:rsidRDefault="00000000" w:rsidRPr="00000000" w14:paraId="0000002C">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servizio/fornitura</w:t>
            </w:r>
          </w:p>
        </w:tc>
        <w:tc>
          <w:tcPr>
            <w:shd w:fill="4472c4" w:val="clear"/>
          </w:tcPr>
          <w:p w:rsidR="00000000" w:rsidDel="00000000" w:rsidP="00000000" w:rsidRDefault="00000000" w:rsidRPr="00000000" w14:paraId="0000002D">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Parte /percentuale</w:t>
            </w:r>
          </w:p>
        </w:tc>
        <w:tc>
          <w:tcPr>
            <w:shd w:fill="4472c4" w:val="clear"/>
          </w:tcPr>
          <w:p w:rsidR="00000000" w:rsidDel="00000000" w:rsidP="00000000" w:rsidRDefault="00000000" w:rsidRPr="00000000" w14:paraId="0000002E">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Operatore esecutore</w:t>
            </w:r>
          </w:p>
        </w:tc>
      </w:tr>
      <w:tr>
        <w:trPr>
          <w:cantSplit w:val="0"/>
          <w:tblHeader w:val="0"/>
        </w:trPr>
        <w:tc>
          <w:tcPr/>
          <w:p w:rsidR="00000000" w:rsidDel="00000000" w:rsidP="00000000" w:rsidRDefault="00000000" w:rsidRPr="00000000" w14:paraId="0000002F">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0">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1">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4">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6">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7">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9">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A">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3B">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3C">
      <w:pPr>
        <w:spacing w:after="60" w:before="60" w:line="276" w:lineRule="auto"/>
        <w:ind w:left="851" w:hanging="425"/>
        <w:jc w:val="both"/>
        <w:rPr>
          <w:rFonts w:ascii="Open Sans Light" w:cs="Open Sans Light" w:eastAsia="Open Sans Light" w:hAnsi="Open Sans Light"/>
          <w:b w:val="1"/>
          <w:sz w:val="20"/>
          <w:szCs w:val="20"/>
        </w:rPr>
      </w:pPr>
      <w:r w:rsidDel="00000000" w:rsidR="00000000" w:rsidRPr="00000000">
        <w:rPr>
          <w:rFonts w:ascii="Open Sans Light" w:cs="Open Sans Light" w:eastAsia="Open Sans Light" w:hAnsi="Open Sans Light"/>
          <w:b w:val="1"/>
          <w:sz w:val="20"/>
          <w:szCs w:val="20"/>
          <w:rtl w:val="0"/>
        </w:rPr>
        <w:t xml:space="preserve">In caso di Consorzi di cui all’art. 65, comma 2, lett. b), c) e d) del Codice</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tbl>
      <w:tblPr>
        <w:tblStyle w:val="Table3"/>
        <w:tblW w:w="920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3"/>
        <w:gridCol w:w="3056"/>
        <w:gridCol w:w="3058"/>
        <w:tblGridChange w:id="0">
          <w:tblGrid>
            <w:gridCol w:w="3093"/>
            <w:gridCol w:w="3056"/>
            <w:gridCol w:w="3058"/>
          </w:tblGrid>
        </w:tblGridChange>
      </w:tblGrid>
      <w:tr>
        <w:trPr>
          <w:cantSplit w:val="0"/>
          <w:tblHeader w:val="0"/>
        </w:trPr>
        <w:tc>
          <w:tcPr>
            <w:shd w:fill="4472c4" w:val="clear"/>
          </w:tcPr>
          <w:p w:rsidR="00000000" w:rsidDel="00000000" w:rsidP="00000000" w:rsidRDefault="00000000" w:rsidRPr="00000000" w14:paraId="0000003E">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Denominazione/Ragione Sociale</w:t>
            </w:r>
          </w:p>
        </w:tc>
        <w:tc>
          <w:tcPr>
            <w:shd w:fill="4472c4" w:val="clear"/>
          </w:tcPr>
          <w:p w:rsidR="00000000" w:rsidDel="00000000" w:rsidP="00000000" w:rsidRDefault="00000000" w:rsidRPr="00000000" w14:paraId="0000003F">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C.F. </w:t>
            </w:r>
          </w:p>
        </w:tc>
        <w:tc>
          <w:tcPr>
            <w:shd w:fill="4472c4" w:val="clear"/>
          </w:tcPr>
          <w:p w:rsidR="00000000" w:rsidDel="00000000" w:rsidP="00000000" w:rsidRDefault="00000000" w:rsidRPr="00000000" w14:paraId="00000040">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Sede</w:t>
            </w:r>
          </w:p>
        </w:tc>
      </w:tr>
      <w:tr>
        <w:trPr>
          <w:cantSplit w:val="0"/>
          <w:tblHeader w:val="0"/>
        </w:trPr>
        <w:tc>
          <w:tcPr/>
          <w:p w:rsidR="00000000" w:rsidDel="00000000" w:rsidP="00000000" w:rsidRDefault="00000000" w:rsidRPr="00000000" w14:paraId="00000041">
            <w:pPr>
              <w:spacing w:after="60" w:before="60" w:line="276" w:lineRule="auto"/>
              <w:ind w:firstLine="720"/>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5">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6">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8">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9">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A">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B">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C">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E">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F">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51">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5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5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54">
      <w:pPr>
        <w:spacing w:after="60" w:before="60" w:line="276" w:lineRule="auto"/>
        <w:ind w:left="426" w:firstLine="0"/>
        <w:jc w:val="both"/>
        <w:rPr>
          <w:rFonts w:ascii="Open Sans Light" w:cs="Open Sans Light" w:eastAsia="Open Sans Light" w:hAnsi="Open Sans Light"/>
          <w:b w:val="1"/>
          <w:i w:val="1"/>
          <w:sz w:val="20"/>
          <w:szCs w:val="20"/>
        </w:rPr>
      </w:pPr>
      <w:r w:rsidDel="00000000" w:rsidR="00000000" w:rsidRPr="00000000">
        <w:rPr>
          <w:rFonts w:ascii="Open Sans Light" w:cs="Open Sans Light" w:eastAsia="Open Sans Light" w:hAnsi="Open Sans Light"/>
          <w:b w:val="1"/>
          <w:i w:val="1"/>
          <w:sz w:val="20"/>
          <w:szCs w:val="20"/>
          <w:rtl w:val="0"/>
        </w:rPr>
        <w:t xml:space="preserve">(Solo per i Consorzi Stabili) </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il Consorzio, al fine di soddisfare i requisiti di partecipazione prescritti dal Bando di gara ricorre ai requisiti delle consorziate non esecutrici così come di seguito indicato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compilare solo se di interesse</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p>
    <w:tbl>
      <w:tblPr>
        <w:tblStyle w:val="Table4"/>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56">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Denominazione/Ragione Sociale</w:t>
            </w:r>
          </w:p>
        </w:tc>
        <w:tc>
          <w:tcPr>
            <w:shd w:fill="4472c4" w:val="clear"/>
          </w:tcPr>
          <w:p w:rsidR="00000000" w:rsidDel="00000000" w:rsidP="00000000" w:rsidRDefault="00000000" w:rsidRPr="00000000" w14:paraId="00000057">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C.F.</w:t>
            </w:r>
          </w:p>
        </w:tc>
        <w:tc>
          <w:tcPr>
            <w:shd w:fill="4472c4" w:val="clear"/>
          </w:tcPr>
          <w:p w:rsidR="00000000" w:rsidDel="00000000" w:rsidP="00000000" w:rsidRDefault="00000000" w:rsidRPr="00000000" w14:paraId="00000058">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Requisito e relativa misura</w:t>
            </w:r>
          </w:p>
        </w:tc>
      </w:tr>
      <w:tr>
        <w:trPr>
          <w:cantSplit w:val="0"/>
          <w:tblHeader w:val="0"/>
        </w:trPr>
        <w:tc>
          <w:tcPr/>
          <w:p w:rsidR="00000000" w:rsidDel="00000000" w:rsidP="00000000" w:rsidRDefault="00000000" w:rsidRPr="00000000" w14:paraId="00000059">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5A">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5B">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5D">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5E">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60">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61">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4">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6">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7">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9">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A">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r>
    </w:tbl>
    <w:p w:rsidR="00000000" w:rsidDel="00000000" w:rsidP="00000000" w:rsidRDefault="00000000" w:rsidRPr="00000000" w14:paraId="0000006B">
      <w:pPr>
        <w:spacing w:after="60" w:before="60" w:line="276" w:lineRule="auto"/>
        <w:ind w:left="284"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6C">
      <w:pPr>
        <w:spacing w:after="60" w:before="60" w:line="276" w:lineRule="auto"/>
        <w:jc w:val="both"/>
        <w:rPr>
          <w:rFonts w:ascii="Open Sans Light" w:cs="Open Sans Light" w:eastAsia="Open Sans Light" w:hAnsi="Open Sans Light"/>
          <w:b w:val="1"/>
          <w:i w:val="1"/>
          <w:sz w:val="20"/>
          <w:szCs w:val="20"/>
        </w:rPr>
      </w:pPr>
      <w:r w:rsidDel="00000000" w:rsidR="00000000" w:rsidRPr="00000000">
        <w:rPr>
          <w:rFonts w:ascii="Open Sans Light" w:cs="Open Sans Light" w:eastAsia="Open Sans Light" w:hAnsi="Open Sans Light"/>
          <w:b w:val="1"/>
          <w:i w:val="1"/>
          <w:sz w:val="20"/>
          <w:szCs w:val="20"/>
          <w:rtl w:val="0"/>
        </w:rPr>
        <w:t xml:space="preserve">(Ciascuna consorziata, esecutrice e non, deve presentare una propria domanda di partecipazione)</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non partecipare in forma singola/associata e come ausiliaria di altro concorrente che sia ricorso all’avvalimento per migliorare la propria offerta;</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non partecipare alla medesima gara contemporaneamente in forme diverse (individuale e associata; in più forme associate; in forma singola e quale consorziato esecutore di un consorzio);</w:t>
      </w:r>
    </w:p>
    <w:p w:rsidR="00000000" w:rsidDel="00000000" w:rsidP="00000000" w:rsidRDefault="00000000" w:rsidRPr="00000000" w14:paraId="0000006F">
      <w:pPr>
        <w:spacing w:after="60" w:before="60" w:line="276" w:lineRule="auto"/>
        <w:ind w:left="284" w:hanging="284"/>
        <w:jc w:val="both"/>
        <w:rPr>
          <w:rFonts w:ascii="Open Sans Light" w:cs="Open Sans Light" w:eastAsia="Open Sans Light" w:hAnsi="Open Sans Light"/>
          <w:b w:val="1"/>
          <w:sz w:val="20"/>
          <w:szCs w:val="20"/>
        </w:rPr>
      </w:pPr>
      <w:r w:rsidDel="00000000" w:rsidR="00000000" w:rsidRPr="00000000">
        <w:rPr>
          <w:rFonts w:ascii="Open Sans Light" w:cs="Open Sans Light" w:eastAsia="Open Sans Light" w:hAnsi="Open Sans Light"/>
          <w:b w:val="1"/>
          <w:sz w:val="20"/>
          <w:szCs w:val="20"/>
          <w:rtl w:val="0"/>
        </w:rPr>
        <w:t xml:space="preserve">o, in alternativa, </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partecipare in più di una forma,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&lt;</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indicare quali</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&gt; e inserisce nel FVOE idonea documentazione atta a dimostrare che la circostanza non ha influito sulla gara, né è idonea a incidere sulla capacità di rispettare gli obblighi contrattuali;</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non partecipare a più di un consorzio stabile.</w:t>
      </w:r>
      <w:r w:rsidDel="00000000" w:rsidR="00000000" w:rsidRPr="00000000">
        <w:rPr>
          <w:rtl w:val="0"/>
        </w:rPr>
      </w:r>
    </w:p>
    <w:p w:rsidR="00000000" w:rsidDel="00000000" w:rsidP="00000000" w:rsidRDefault="00000000" w:rsidRPr="00000000" w14:paraId="00000072">
      <w:pPr>
        <w:spacing w:after="60" w:before="60" w:line="276" w:lineRule="auto"/>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(Per i raggruppamenti temporanei o consorzi ordinari di cui all’articolo 65, comma 2 lett. f) del d.lgs. 36/2023 o GEIE non ancora costituiti)</w:t>
      </w:r>
    </w:p>
    <w:p w:rsidR="00000000" w:rsidDel="00000000" w:rsidP="00000000" w:rsidRDefault="00000000" w:rsidRPr="00000000" w14:paraId="00000073">
      <w:pPr>
        <w:spacing w:after="60" w:before="60" w:line="276" w:lineRule="auto"/>
        <w:jc w:val="both"/>
        <w:rPr>
          <w:rFonts w:ascii="Open Sans Light" w:cs="Open Sans Light" w:eastAsia="Open Sans Light" w:hAnsi="Open Sans Light"/>
          <w:b w:val="1"/>
          <w:i w:val="1"/>
          <w:sz w:val="20"/>
          <w:szCs w:val="20"/>
        </w:rPr>
      </w:pPr>
      <w:r w:rsidDel="00000000" w:rsidR="00000000" w:rsidRPr="00000000">
        <w:rPr>
          <w:rFonts w:ascii="Open Sans Light" w:cs="Open Sans Light" w:eastAsia="Open Sans Light" w:hAnsi="Open Sans Light"/>
          <w:b w:val="1"/>
          <w:i w:val="1"/>
          <w:sz w:val="20"/>
          <w:szCs w:val="20"/>
          <w:rtl w:val="0"/>
        </w:rPr>
        <w:t xml:space="preserve">Dichiarazioni da rendere da parte di ciascun componente del RTI/Consorzio ordinario: </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in caso di aggiudicazione, sarà conferito mandato speciale con rappresentanza o funzioni di capogruppo 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indicare l’operatore che sarà nominato capogruppo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SI IMPEGNA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000000" w:rsidDel="00000000" w:rsidP="00000000" w:rsidRDefault="00000000" w:rsidRPr="00000000" w14:paraId="00000076">
      <w:pPr>
        <w:spacing w:after="60" w:before="60" w:line="276" w:lineRule="auto"/>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(Per le aggregazioni di retisti: se la rete è dotata di un organo comune con potere di rappresentanza e soggettività giuridica)</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spacing w:after="60" w:before="60" w:line="276" w:lineRule="auto"/>
        <w:ind w:left="720" w:hanging="360"/>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 di concorrere per le seguenti imprese:</w:t>
      </w:r>
    </w:p>
    <w:p w:rsidR="00000000" w:rsidDel="00000000" w:rsidP="00000000" w:rsidRDefault="00000000" w:rsidRPr="00000000" w14:paraId="00000079">
      <w:pPr>
        <w:spacing w:after="60" w:before="6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ab/>
      </w:r>
      <w:r w:rsidDel="00000000" w:rsidR="00000000" w:rsidRPr="00000000">
        <w:rPr>
          <w:rFonts w:ascii="Open Sans Light" w:cs="Open Sans Light" w:eastAsia="Open Sans Light" w:hAnsi="Open Sans Light"/>
          <w:b w:val="1"/>
          <w:sz w:val="20"/>
          <w:szCs w:val="20"/>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le seguenti parti/percentuali del servizio/fornitura saranno eseguite dagli operatori economici di seguito indicati:</w:t>
      </w:r>
    </w:p>
    <w:p w:rsidR="00000000" w:rsidDel="00000000" w:rsidP="00000000" w:rsidRDefault="00000000" w:rsidRPr="00000000" w14:paraId="0000007B">
      <w:pPr>
        <w:spacing w:after="60" w:before="60" w:line="276" w:lineRule="auto"/>
        <w:ind w:left="284" w:firstLine="0"/>
        <w:jc w:val="both"/>
        <w:rPr>
          <w:rFonts w:ascii="Open Sans Light" w:cs="Open Sans Light" w:eastAsia="Open Sans Light" w:hAnsi="Open Sans Light"/>
          <w:b w:val="1"/>
          <w:sz w:val="20"/>
          <w:szCs w:val="20"/>
        </w:rPr>
      </w:pPr>
      <w:r w:rsidDel="00000000" w:rsidR="00000000" w:rsidRPr="00000000">
        <w:rPr>
          <w:rtl w:val="0"/>
        </w:rPr>
      </w:r>
    </w:p>
    <w:tbl>
      <w:tblPr>
        <w:tblStyle w:val="Table5"/>
        <w:tblW w:w="920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09"/>
        <w:gridCol w:w="2761"/>
        <w:tblGridChange w:id="0">
          <w:tblGrid>
            <w:gridCol w:w="3237"/>
            <w:gridCol w:w="3209"/>
            <w:gridCol w:w="2761"/>
          </w:tblGrid>
        </w:tblGridChange>
      </w:tblGrid>
      <w:tr>
        <w:trPr>
          <w:cantSplit w:val="0"/>
          <w:tblHeader w:val="0"/>
        </w:trPr>
        <w:tc>
          <w:tcPr>
            <w:shd w:fill="4472c4" w:val="clear"/>
          </w:tcPr>
          <w:p w:rsidR="00000000" w:rsidDel="00000000" w:rsidP="00000000" w:rsidRDefault="00000000" w:rsidRPr="00000000" w14:paraId="0000007C">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servizio/fornitura</w:t>
            </w:r>
          </w:p>
        </w:tc>
        <w:tc>
          <w:tcPr>
            <w:shd w:fill="4472c4" w:val="clear"/>
          </w:tcPr>
          <w:p w:rsidR="00000000" w:rsidDel="00000000" w:rsidP="00000000" w:rsidRDefault="00000000" w:rsidRPr="00000000" w14:paraId="0000007D">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Parte /percentuale</w:t>
            </w:r>
          </w:p>
        </w:tc>
        <w:tc>
          <w:tcPr>
            <w:shd w:fill="4472c4" w:val="clear"/>
          </w:tcPr>
          <w:p w:rsidR="00000000" w:rsidDel="00000000" w:rsidP="00000000" w:rsidRDefault="00000000" w:rsidRPr="00000000" w14:paraId="0000007E">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Operatore esecutore</w:t>
            </w:r>
          </w:p>
        </w:tc>
      </w:tr>
      <w:tr>
        <w:trPr>
          <w:cantSplit w:val="0"/>
          <w:tblHeader w:val="0"/>
        </w:trPr>
        <w:tc>
          <w:tcPr/>
          <w:p w:rsidR="00000000" w:rsidDel="00000000" w:rsidP="00000000" w:rsidRDefault="00000000" w:rsidRPr="00000000" w14:paraId="0000007F">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0">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1">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4">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6">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7">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9">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A">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8B">
      <w:pPr>
        <w:spacing w:after="60" w:before="60" w:line="276" w:lineRule="auto"/>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after="60" w:before="60" w:line="276" w:lineRule="auto"/>
        <w:ind w:left="426" w:hanging="360"/>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i w:val="1"/>
          <w:color w:val="000000"/>
          <w:sz w:val="20"/>
          <w:szCs w:val="20"/>
          <w:rtl w:val="0"/>
        </w:rPr>
        <w:t xml:space="preserve"> (dichiarazione da rendere solo dall’organo comune): </w:t>
      </w:r>
      <w:r w:rsidDel="00000000" w:rsidR="00000000" w:rsidRPr="00000000">
        <w:rPr>
          <w:rFonts w:ascii="Open Sans Light" w:cs="Open Sans Light" w:eastAsia="Open Sans Light" w:hAnsi="Open Sans Light"/>
          <w:color w:val="000000"/>
          <w:sz w:val="20"/>
          <w:szCs w:val="20"/>
          <w:rtl w:val="0"/>
        </w:rPr>
        <w:t xml:space="preserve">che l’aggregazione di imprese di rete è iscritta al Registro delle Imprese di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al n.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partita I.V.A. n.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oppure è iscritta al Registro delle commissioni provinciali per l’artigianato di</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al n.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tl w:val="0"/>
        </w:rPr>
      </w:r>
    </w:p>
    <w:p w:rsidR="00000000" w:rsidDel="00000000" w:rsidP="00000000" w:rsidRDefault="00000000" w:rsidRPr="00000000" w14:paraId="0000008D">
      <w:pPr>
        <w:spacing w:after="60" w:before="60" w:line="276" w:lineRule="auto"/>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8E">
      <w:pPr>
        <w:spacing w:after="60" w:before="60" w:line="276" w:lineRule="auto"/>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000000" w:rsidDel="00000000" w:rsidP="00000000" w:rsidRDefault="00000000" w:rsidRPr="00000000" w14:paraId="0000008F">
      <w:pPr>
        <w:spacing w:after="60" w:before="60" w:line="276" w:lineRule="auto"/>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90">
      <w:pPr>
        <w:numPr>
          <w:ilvl w:val="0"/>
          <w:numId w:val="1"/>
        </w:numPr>
        <w:spacing w:after="60" w:before="60" w:line="276" w:lineRule="auto"/>
        <w:ind w:left="567" w:hanging="283"/>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i w:val="1"/>
          <w:sz w:val="20"/>
          <w:szCs w:val="20"/>
          <w:rtl w:val="0"/>
        </w:rPr>
        <w:t xml:space="preserve">(in caso di Rete costituenda)</w:t>
      </w:r>
      <w:r w:rsidDel="00000000" w:rsidR="00000000" w:rsidRPr="00000000">
        <w:rPr>
          <w:rFonts w:ascii="Open Sans Light" w:cs="Open Sans Light" w:eastAsia="Open Sans Light" w:hAnsi="Open Sans Light"/>
          <w:sz w:val="20"/>
          <w:szCs w:val="20"/>
          <w:rtl w:val="0"/>
        </w:rPr>
        <w:t xml:space="preserve">: </w:t>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 (dichiarazione da rendere da parte di ciascun operatore che compone la rete)</w:t>
      </w:r>
      <w:r w:rsidDel="00000000" w:rsidR="00000000" w:rsidRPr="00000000">
        <w:rPr>
          <w:rtl w:val="0"/>
        </w:rPr>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spacing w:after="60" w:before="60" w:line="276" w:lineRule="auto"/>
        <w:ind w:left="567" w:hanging="141"/>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che in caso di aggiudicazione, sarà conferito mandato speciale con rappresentanza o funzioni di capogruppo a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tl w:val="0"/>
        </w:rPr>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spacing w:after="60" w:before="60" w:line="276" w:lineRule="auto"/>
        <w:ind w:left="567" w:hanging="141"/>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di impegnarsi, in caso di aggiudicazione, ad uniformarsi alla disciplina vigente in materia di raggruppamenti temporanei</w:t>
      </w:r>
    </w:p>
    <w:p w:rsidR="00000000" w:rsidDel="00000000" w:rsidP="00000000" w:rsidRDefault="00000000" w:rsidRPr="00000000" w14:paraId="00000094">
      <w:pPr>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95">
      <w:pPr>
        <w:numPr>
          <w:ilvl w:val="0"/>
          <w:numId w:val="9"/>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i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avvalimento </w:t>
      </w:r>
      <w:r w:rsidDel="00000000" w:rsidR="00000000" w:rsidRPr="00000000">
        <w:rPr>
          <w:rFonts w:ascii="Open Sans Light" w:cs="Open Sans Light" w:eastAsia="Open Sans Light" w:hAnsi="Open Sans Light"/>
          <w:b w:val="1"/>
          <w:i w:val="1"/>
          <w:color w:val="4472c4"/>
          <w:sz w:val="20"/>
          <w:szCs w:val="20"/>
          <w:rtl w:val="0"/>
        </w:rPr>
        <w:t xml:space="preserve">(da ripetere per ciascuna impresa ausiliaria)  </w:t>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1364" w:firstLine="0"/>
        <w:jc w:val="both"/>
        <w:rPr>
          <w:rFonts w:ascii="Open Sans Light" w:cs="Open Sans Light" w:eastAsia="Open Sans Light" w:hAnsi="Open Sans Light"/>
          <w:b w:val="1"/>
          <w:i w:val="1"/>
          <w:color w:val="4472c4"/>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avvalersi dell’impresa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al fine di dimostrare il possesso dei requisiti indicati nella sezione del DGUE relativa all’avvalimento e allega il contratto di avvalimento.</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avvalersi dell’impresa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al fine di migliorare l’offerta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[N.B.: i requisiti oggetto di avvalimento dovranno essere indicati esclusivamente nel contratto di avvalimento]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 presenta il contratto di avvalimento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nell’offerta tecnica.</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9A">
      <w:pPr>
        <w:numPr>
          <w:ilvl w:val="0"/>
          <w:numId w:val="9"/>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adozione di misure di self-cleaning:</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ind w:left="644"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INSERISCE</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nel FVOE la relazione che illustra le misure di self cleaning adottate in relazione alle cause di esclusione verificate prima della presentazione della presente domanda e indica nel DGUE, il riferimento al documento caricato nel FVOE;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ind w:left="426" w:firstLine="0"/>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in alternativa, dichiara che è stato impossibilitato ad adottare misure di self cleaning per i seguenti motivi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w:t>
      </w:r>
      <w:r w:rsidDel="00000000" w:rsidR="00000000" w:rsidRPr="00000000">
        <w:rPr>
          <w:rFonts w:ascii="Open Sans Light" w:cs="Open Sans Light" w:eastAsia="Open Sans Light" w:hAnsi="Open Sans Light"/>
          <w:i w:val="1"/>
          <w:color w:val="000000"/>
          <w:sz w:val="20"/>
          <w:szCs w:val="20"/>
          <w:rtl w:val="0"/>
        </w:rPr>
        <w:t xml:space="preserve">indicare le motivazioni </w:t>
      </w:r>
      <w:r w:rsidDel="00000000" w:rsidR="00000000" w:rsidRPr="00000000">
        <w:rPr>
          <w:rFonts w:ascii="Open Sans Light" w:cs="Open Sans Light" w:eastAsia="Open Sans Light" w:hAnsi="Open Sans Light"/>
          <w:b w:val="1"/>
          <w:i w:val="1"/>
          <w:color w:val="000000"/>
          <w:sz w:val="20"/>
          <w:szCs w:val="20"/>
          <w:rtl w:val="0"/>
        </w:rPr>
        <w:t xml:space="preserve">     </w:t>
      </w:r>
      <w:r w:rsidDel="00000000" w:rsidR="00000000" w:rsidRPr="00000000">
        <w:rPr>
          <w:rFonts w:ascii="Open Sans Light" w:cs="Open Sans Light" w:eastAsia="Open Sans Light" w:hAnsi="Open Sans Light"/>
          <w:i w:val="1"/>
          <w:color w:val="000000"/>
          <w:sz w:val="20"/>
          <w:szCs w:val="20"/>
          <w:rtl w:val="0"/>
        </w:rPr>
        <w:t xml:space="preserve">]</w:t>
      </w:r>
      <w:r w:rsidDel="00000000" w:rsidR="00000000" w:rsidRPr="00000000">
        <w:rPr>
          <w:rFonts w:ascii="Open Sans Light" w:cs="Open Sans Light" w:eastAsia="Open Sans Light" w:hAnsi="Open Sans Light"/>
          <w:color w:val="000000"/>
          <w:sz w:val="20"/>
          <w:szCs w:val="20"/>
          <w:rtl w:val="0"/>
        </w:rPr>
        <w:t xml:space="preserve"> e si impegna ad adottare misure idonee e a comunicare le stesse tempestivamente e comunque prima dell’aggiudicazione.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ind w:left="720"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9F">
      <w:pPr>
        <w:numPr>
          <w:ilvl w:val="0"/>
          <w:numId w:val="9"/>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sottoposizione a concordato preventivo con continuità aziendale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ind w:left="644"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che il provvedimento di ammissione al concordato è stato emesso il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Open Sans Light" w:cs="Open Sans Light" w:eastAsia="Open Sans Light" w:hAnsi="Open Sans Light"/>
          <w:b w:val="0"/>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il provvedimento di autorizzazione a partecipare alle gare è stato emesso il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(solo in caso di raggruppamento)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4">
      <w:pPr>
        <w:keepLines w:val="1"/>
        <w:pBdr>
          <w:top w:space="0" w:sz="0" w:val="nil"/>
          <w:left w:space="0" w:sz="0" w:val="nil"/>
          <w:bottom w:space="0" w:sz="0" w:val="nil"/>
          <w:right w:space="0" w:sz="0" w:val="nil"/>
          <w:between w:space="0" w:sz="0" w:val="nil"/>
        </w:pBdr>
        <w:tabs>
          <w:tab w:val="left" w:leader="none" w:pos="8647"/>
        </w:tabs>
        <w:spacing w:after="0" w:line="240" w:lineRule="auto"/>
        <w:ind w:left="426" w:firstLine="0"/>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b w:val="1"/>
          <w:color w:val="000000"/>
          <w:sz w:val="20"/>
          <w:szCs w:val="20"/>
          <w:rtl w:val="0"/>
        </w:rPr>
        <w:t xml:space="preserve">DICHIARA</w:t>
      </w:r>
      <w:r w:rsidDel="00000000" w:rsidR="00000000" w:rsidRPr="00000000">
        <w:rPr>
          <w:rFonts w:ascii="Open Sans Light" w:cs="Open Sans Light" w:eastAsia="Open Sans Light" w:hAnsi="Open Sans Light"/>
          <w:color w:val="000000"/>
          <w:sz w:val="20"/>
          <w:szCs w:val="20"/>
          <w:rtl w:val="0"/>
        </w:rPr>
        <w:t xml:space="preserve"> che le altre imprese aderenti al raggruppamento non sono assoggettate ad una procedura concorsuale, ai sensi dell’articolo 95, commi 4 e 5, del decreto legislativo n. 14/2019</w:t>
      </w:r>
    </w:p>
    <w:p w:rsidR="00000000" w:rsidDel="00000000" w:rsidP="00000000" w:rsidRDefault="00000000" w:rsidRPr="00000000" w14:paraId="000000A5">
      <w:pPr>
        <w:keepLines w:val="1"/>
        <w:pBdr>
          <w:top w:space="0" w:sz="0" w:val="nil"/>
          <w:left w:space="0" w:sz="0" w:val="nil"/>
          <w:bottom w:space="0" w:sz="0" w:val="nil"/>
          <w:right w:space="0" w:sz="0" w:val="nil"/>
          <w:between w:space="0" w:sz="0" w:val="nil"/>
        </w:pBdr>
        <w:tabs>
          <w:tab w:val="left" w:leader="none" w:pos="8647"/>
        </w:tabs>
        <w:spacing w:after="0" w:lineRule="auto"/>
        <w:jc w:val="both"/>
        <w:rPr>
          <w:rFonts w:ascii="Open Sans Light" w:cs="Open Sans Light" w:eastAsia="Open Sans Light" w:hAnsi="Open Sans Light"/>
          <w:color w:val="000000"/>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ALLEGA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la relazione di un professionista in possesso dei requisiti di cui all'articolo 2, comma 1, lettera o) del decreto legislativo succitato che attesta la conformità al piano e la ragionevole capacità di adempimento del contratto</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ind w:left="720" w:firstLine="0"/>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A8">
      <w:pPr>
        <w:numPr>
          <w:ilvl w:val="0"/>
          <w:numId w:val="9"/>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sottoposizione a sequestro/confisca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ind w:left="720" w:firstLine="0"/>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i w:val="1"/>
          <w:color w:val="000000"/>
          <w:sz w:val="20"/>
          <w:szCs w:val="20"/>
          <w:rtl w:val="0"/>
        </w:rPr>
        <w:t xml:space="preserve">(In caso di</w:t>
      </w:r>
      <w:r w:rsidDel="00000000" w:rsidR="00000000" w:rsidRPr="00000000">
        <w:rPr>
          <w:rFonts w:ascii="Open Sans Light" w:cs="Open Sans Light" w:eastAsia="Open Sans Light" w:hAnsi="Open Sans Light"/>
          <w:b w:val="1"/>
          <w:i w:val="1"/>
          <w:color w:val="000000"/>
          <w:sz w:val="20"/>
          <w:szCs w:val="20"/>
          <w:rtl w:val="0"/>
        </w:rPr>
        <w:t xml:space="preserve"> </w:t>
      </w:r>
      <w:r w:rsidDel="00000000" w:rsidR="00000000" w:rsidRPr="00000000">
        <w:rPr>
          <w:rFonts w:ascii="Open Sans Light" w:cs="Open Sans Light" w:eastAsia="Open Sans Light" w:hAnsi="Open Sans Light"/>
          <w:i w:val="1"/>
          <w:color w:val="000000"/>
          <w:sz w:val="20"/>
          <w:szCs w:val="20"/>
          <w:rtl w:val="0"/>
        </w:rPr>
        <w:t xml:space="preserve">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1"/>
          <w:i w:val="0"/>
          <w:smallCaps w:val="0"/>
          <w:strike w:val="0"/>
          <w:color w:val="4472c4"/>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che è stato emesso il provvedimento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indicare il tipo di provvedimento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Sottoposizione a sequestro o confisca ai sensi dell'articolo 240-bis del codice penale o degli articoli 20 e 24 del decreto legislativo 6 settembre 2011, n. 159, e affidamento a custode o amministratore giudiziario o finanziario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in data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da parte di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ind w:left="720" w:firstLine="0"/>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AD">
      <w:pPr>
        <w:numPr>
          <w:ilvl w:val="0"/>
          <w:numId w:val="9"/>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Ulteriori dichiarazioni</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altresì:</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287" w:right="0" w:hanging="578"/>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di ritenere remunerativa l’offerta economica presentata, avendo tenuto conto, per la relativa formulazione: </w:t>
      </w:r>
    </w:p>
    <w:p w:rsidR="00000000" w:rsidDel="00000000" w:rsidP="00000000" w:rsidRDefault="00000000" w:rsidRPr="00000000" w14:paraId="000000B0">
      <w:pPr>
        <w:ind w:left="1418" w:hanging="142.00000000000003"/>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 </w:t>
        <w:tab/>
        <w:t xml:space="preserve">delle condizioni contrattuali e degli oneri compresi quelli eventuali relativi in materia di sicurezza, di assicurazione, di condizioni di lavoro e di previdenza e assistenza derivanti dal CCNL applicato. </w:t>
      </w:r>
    </w:p>
    <w:p w:rsidR="00000000" w:rsidDel="00000000" w:rsidP="00000000" w:rsidRDefault="00000000" w:rsidRPr="00000000" w14:paraId="000000B1">
      <w:pPr>
        <w:ind w:left="1418" w:hanging="142.00000000000003"/>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 </w:t>
        <w:tab/>
        <w:t xml:space="preserve">di tutte le circostanze generali, particolari e locali, nessuna esclusa ed eccettuata, che possono avere influito o influire sia sulla prestazione dei servizi/fornitura, sia sulla determinazione della propria offerta. </w:t>
      </w:r>
    </w:p>
    <w:p w:rsidR="00000000" w:rsidDel="00000000" w:rsidP="00000000" w:rsidRDefault="00000000" w:rsidRPr="00000000" w14:paraId="000000B2">
      <w:pPr>
        <w:ind w:left="1276" w:hanging="284.00000000000006"/>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ab/>
        <w:t xml:space="preserve">- di essere edotto degli obblighi derivanti dal Codice di comportamento adottato dalla stazione appaltante reperibile nel sito </w:t>
      </w:r>
      <w:hyperlink r:id="rId8">
        <w:r w:rsidDel="00000000" w:rsidR="00000000" w:rsidRPr="00000000">
          <w:rPr>
            <w:rFonts w:ascii="Open Sans Light" w:cs="Open Sans Light" w:eastAsia="Open Sans Light" w:hAnsi="Open Sans Light"/>
            <w:color w:val="0563c1"/>
            <w:sz w:val="20"/>
            <w:szCs w:val="20"/>
            <w:u w:val="single"/>
            <w:rtl w:val="0"/>
          </w:rPr>
          <w:t xml:space="preserve">https://www.eneatechbiomedical.it/</w:t>
        </w:r>
      </w:hyperlink>
      <w:r w:rsidDel="00000000" w:rsidR="00000000" w:rsidRPr="00000000">
        <w:rPr>
          <w:rFonts w:ascii="Open Sans Light" w:cs="Open Sans Light" w:eastAsia="Open Sans Light" w:hAnsi="Open Sans Light"/>
          <w:sz w:val="20"/>
          <w:szCs w:val="20"/>
          <w:rtl w:val="0"/>
        </w:rPr>
        <w:t xml:space="preserve"> e si impegna, in caso di aggiudicazione, ad osservare e a far osservare ai propri dipendenti e collaboratori, per quanto applicabile, il suddetto codice, pena la risoluzione del contratto. </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SI IMPEGNA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 non attuare nella presente gara intese e/o pratiche restrittive della concorrenza e del mercato vietate ai sensi della normativa applicabile.</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beneficiare della seguente riduzione della garanzia a corredo dell’offerta ai sensi dell’articolo 106, comma 8,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compilare solo se di interesse) e inserisce le relative certificazioni nel FVOE.</w:t>
      </w:r>
      <w:r w:rsidDel="00000000" w:rsidR="00000000" w:rsidRPr="00000000">
        <w:rPr>
          <w:rtl w:val="0"/>
        </w:rPr>
      </w:r>
    </w:p>
    <w:p w:rsidR="00000000" w:rsidDel="00000000" w:rsidP="00000000" w:rsidRDefault="00000000" w:rsidRPr="00000000" w14:paraId="000000B5">
      <w:pPr>
        <w:numPr>
          <w:ilvl w:val="0"/>
          <w:numId w:val="8"/>
        </w:numPr>
        <w:pBdr>
          <w:top w:space="0" w:sz="0" w:val="nil"/>
          <w:left w:space="0" w:sz="0" w:val="nil"/>
          <w:bottom w:space="0" w:sz="0" w:val="nil"/>
          <w:right w:space="0" w:sz="0" w:val="nil"/>
          <w:between w:space="0" w:sz="0" w:val="nil"/>
        </w:pBdr>
        <w:spacing w:after="0" w:lineRule="auto"/>
        <w:ind w:left="993" w:hanging="283.999999999999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30% per il possesso della certificazione del sistema di qualità conforme alle norme europee della serie UNI CEI ISO 9000 rilasciata da organismi accreditati, ai sensi delle norme europee della serie UNI CEI EN 45000 e della serie UNI CEI EN ISO/IEC 17000;</w:t>
      </w:r>
    </w:p>
    <w:p w:rsidR="00000000" w:rsidDel="00000000" w:rsidP="00000000" w:rsidRDefault="00000000" w:rsidRPr="00000000" w14:paraId="000000B6">
      <w:pPr>
        <w:numPr>
          <w:ilvl w:val="0"/>
          <w:numId w:val="8"/>
        </w:numPr>
        <w:pBdr>
          <w:top w:space="0" w:sz="0" w:val="nil"/>
          <w:left w:space="0" w:sz="0" w:val="nil"/>
          <w:bottom w:space="0" w:sz="0" w:val="nil"/>
          <w:right w:space="0" w:sz="0" w:val="nil"/>
          <w:between w:space="0" w:sz="0" w:val="nil"/>
        </w:pBdr>
        <w:spacing w:after="0" w:lineRule="auto"/>
        <w:ind w:left="993" w:hanging="283.999999999999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50%in quanto qualificabile come micro, piccola o media impresa oppure facente parte di un raggruppamento di operatori economici o consorzi ordinari costituiti esclusivamente da micro, piccole e medie imprese,</w:t>
      </w:r>
      <w:r w:rsidDel="00000000" w:rsidR="00000000" w:rsidRPr="00000000">
        <w:rPr>
          <w:rFonts w:ascii="Open Sans Light" w:cs="Open Sans Light" w:eastAsia="Open Sans Light" w:hAnsi="Open Sans Light"/>
          <w:color w:val="000000"/>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B7">
      <w:pPr>
        <w:numPr>
          <w:ilvl w:val="0"/>
          <w:numId w:val="8"/>
        </w:numPr>
        <w:pBdr>
          <w:top w:space="0" w:sz="0" w:val="nil"/>
          <w:left w:space="0" w:sz="0" w:val="nil"/>
          <w:bottom w:space="0" w:sz="0" w:val="nil"/>
          <w:right w:space="0" w:sz="0" w:val="nil"/>
          <w:between w:space="0" w:sz="0" w:val="nil"/>
        </w:pBdr>
        <w:ind w:left="993" w:hanging="283.999999999999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riduzione per il possesso di uno o più delle seguenti certificazioni o marchi tra quelli indicati al paragrafo 9 del Disciplinare di gara:</w:t>
      </w:r>
    </w:p>
    <w:tbl>
      <w:tblPr>
        <w:tblStyle w:val="Table6"/>
        <w:tblW w:w="8924.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0"/>
        <w:gridCol w:w="5664"/>
        <w:tblGridChange w:id="0">
          <w:tblGrid>
            <w:gridCol w:w="3260"/>
            <w:gridCol w:w="5664"/>
          </w:tblGrid>
        </w:tblGridChange>
      </w:tblGrid>
      <w:tr>
        <w:trPr>
          <w:cantSplit w:val="0"/>
          <w:trHeight w:val="129" w:hRule="atLeast"/>
          <w:tblHeader w:val="0"/>
        </w:trPr>
        <w:tc>
          <w:tcPr>
            <w:shd w:fill="4472c4" w:val="clear"/>
          </w:tcPr>
          <w:p w:rsidR="00000000" w:rsidDel="00000000" w:rsidP="00000000" w:rsidRDefault="00000000" w:rsidRPr="00000000" w14:paraId="000000B8">
            <w:pPr>
              <w:spacing w:after="0" w:line="240"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Norma</w:t>
            </w:r>
          </w:p>
        </w:tc>
        <w:tc>
          <w:tcPr>
            <w:shd w:fill="4472c4" w:val="clear"/>
          </w:tcPr>
          <w:p w:rsidR="00000000" w:rsidDel="00000000" w:rsidP="00000000" w:rsidRDefault="00000000" w:rsidRPr="00000000" w14:paraId="000000B9">
            <w:pPr>
              <w:spacing w:after="0" w:line="240"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Certificazione/marchio posseduti</w:t>
            </w:r>
          </w:p>
        </w:tc>
      </w:tr>
      <w:tr>
        <w:trPr>
          <w:cantSplit w:val="0"/>
          <w:tblHeader w:val="0"/>
        </w:trPr>
        <w:tc>
          <w:tcPr/>
          <w:p w:rsidR="00000000" w:rsidDel="00000000" w:rsidP="00000000" w:rsidRDefault="00000000" w:rsidRPr="00000000" w14:paraId="000000BA">
            <w:pPr>
              <w:spacing w:after="0" w:line="240"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BB">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C">
            <w:pPr>
              <w:spacing w:after="0" w:line="240"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BD">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E">
            <w:pPr>
              <w:spacing w:after="0" w:line="240"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BF">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after="0" w:line="240"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C1">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C2">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che</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la cauzione è stata costituita nella forma di …. (indicare se cauzione o fideiussione).</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eventuale, solo nel caso in cui la garanzia sia rilasciata nella forma di fideiussione) indica il seguente sito internet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 o la seguente PEC del garante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 al fine di consentire la verifica di veridicità e autenticità della garanzia da parte della stazione appaltante. </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eventuale, solo nel caso in cui la garanzia sia rilasciata tramite bonifico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in caso di restituzione della garanzia provvisoria costituita tramite bonifico, il relativo versamento dovrà essere effettuato sul conto corrente bancario IBAN n.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intestato 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presso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1"/>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di impegnarsi a mantenere valida e vincolante la propria offerta per il periodo previsto nel bando di gara.</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ALLEGA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la ricevuta di pagamento elettronico dell’imposta di bollo o del bonifico bancario o, in alternativa, indica il seguente numero seriale della marca da bollo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producendo copia del contrassegno in formato.pdf. Assume ogni responsabilità in caso di utilizzo plurimo dei contrassegni.</w:t>
      </w:r>
    </w:p>
    <w:p w:rsidR="00000000" w:rsidDel="00000000" w:rsidP="00000000" w:rsidRDefault="00000000" w:rsidRPr="00000000" w14:paraId="000000C9">
      <w:pPr>
        <w:ind w:left="284" w:hanging="284"/>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CA">
      <w:pPr>
        <w:numPr>
          <w:ilvl w:val="0"/>
          <w:numId w:val="9"/>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Assunzione di ulteriori impegni </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altresì di:</w:t>
      </w:r>
    </w:p>
    <w:p w:rsidR="00000000" w:rsidDel="00000000" w:rsidP="00000000" w:rsidRDefault="00000000" w:rsidRPr="00000000" w14:paraId="000000CC">
      <w:pPr>
        <w:ind w:left="284" w:hanging="284"/>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(solo per gli operatori economici non residenti e privi di stabile organizzazione in Italia)</w:t>
      </w:r>
    </w:p>
    <w:p w:rsidR="00000000" w:rsidDel="00000000" w:rsidP="00000000" w:rsidRDefault="00000000" w:rsidRPr="00000000" w14:paraId="000000CD">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uniformarsi, in caso di aggiudicazione, alla disciplina di cui agli articoli 17, comma 2, e 53, comma 3 del D.P.R. 633/1972 e comunicare alla stazione appaltante la nomina del proprio rappresentante fiscale, nelle forme di legge</w:t>
      </w:r>
    </w:p>
    <w:p w:rsidR="00000000" w:rsidDel="00000000" w:rsidP="00000000" w:rsidRDefault="00000000" w:rsidRPr="00000000" w14:paraId="000000CE">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di aver preso visione e di accettare, senza condizione o riserva alcuna, i chiarimenti (quesiti/risposte) resi disponibili mediante la piattaforma</w:t>
      </w:r>
    </w:p>
    <w:p w:rsidR="00000000" w:rsidDel="00000000" w:rsidP="00000000" w:rsidRDefault="00000000" w:rsidRPr="00000000" w14:paraId="000000CF">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l’inesistenza della causa di esclusione di cui all’art. 95, comma 1 lett. d) del Codice (in caso contrario l’OE indica la/e cause di esclusione esistenti tra quelle richiamate, allegando eventuali misure di self cleaning adottate);</w:t>
      </w:r>
    </w:p>
    <w:p w:rsidR="00000000" w:rsidDel="00000000" w:rsidP="00000000" w:rsidRDefault="00000000" w:rsidRPr="00000000" w14:paraId="000000D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284" w:hanging="284"/>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di essere in possesso dei requisiti di idoneità tecnico professionale di cui all’art. 26, comma 1, lett. a), del D. Lgs. 81/08 e s.m.i per l’esecuzione delle attività contrattuali;</w:t>
      </w:r>
    </w:p>
    <w:p w:rsidR="00000000" w:rsidDel="00000000" w:rsidP="00000000" w:rsidRDefault="00000000" w:rsidRPr="00000000" w14:paraId="000000D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284" w:hanging="284"/>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che accetta, senza condizione o riserva alcuna, tutte le norme e disposizioni contenute nella documentazione della procedura.</w:t>
      </w:r>
    </w:p>
    <w:p w:rsidR="00000000" w:rsidDel="00000000" w:rsidP="00000000" w:rsidRDefault="00000000" w:rsidRPr="00000000" w14:paraId="000000D2">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SI IMPEGNA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ad adempiere, in caso di aggiudicazione, agli obblighi di tracciabilità dei flussi finanziari ai sensi della Legge 13 agosto 2010 n. 136."</w:t>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644"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Autorizzazioni e ulteriori dichiarazioni ai fini dell’accesso, delle comunicazioni e del trattamento dei dati</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1"/>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essere consapevole che, nei casi di cui all’articolo 36, commi 1 e 2, del codice, l’offerta presentata sarà resa disponibile mediante accesso diretto alla piattaforma</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AUTORIZZA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la Stazione Appaltante ad assicurare l’accesso alla documentazione presentata per la partecipazione alla gara, su richiesta di altri concorrenti.  </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AUTORIZZA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il proprio domicilio digitale presente negli indici di cui agli articoli 6-bis e 6-ter del D.lgs. n. 82/05 è il seguente: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[per gli operatori economici transfrontalieri]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INDICA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il seguente domicilio fiscale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e l’indirizzo di servizio elettronico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recapito certificato qualificato ai sensi del Regolamento eIDAS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e, per le comunicazioni che avvengono a Sistema così come precisato al par. 2.3 del Disciplinare, elegge domicilio nell’apposita area del Sistema ad esso riservata. </w:t>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 alternativa, nel caso in cui l’operatore economico non sia presente nei predetti indici):</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non essere presente negli indici di cui agli articoli 6-bis e 6-ter del D.lgs. n. 82/05, e, pertanto, così come previsto al paragrafo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[indicare il paragrafo 2.3 o il diverso paragrafo di riferimento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del Disciplinare, elegge domicilio digitale per tutte le comunicazioni inerenti la presente procedura nell’apposita area del Sistema ad esso riservata.</w:t>
      </w:r>
    </w:p>
    <w:p w:rsidR="00000000" w:rsidDel="00000000" w:rsidP="00000000" w:rsidRDefault="00000000" w:rsidRPr="00000000" w14:paraId="000000DD">
      <w:pPr>
        <w:spacing w:after="60" w:before="60" w:lineRule="auto"/>
        <w:ind w:left="284" w:hanging="284"/>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La documentazione presentata in copia viene prodotta ai sensi del decreto legislativo n. 82/05. </w:t>
      </w:r>
    </w:p>
    <w:p w:rsidR="00000000" w:rsidDel="00000000" w:rsidP="00000000" w:rsidRDefault="00000000" w:rsidRPr="00000000" w14:paraId="000000DE">
      <w:pPr>
        <w:spacing w:after="60" w:before="60" w:lineRule="auto"/>
        <w:ind w:left="284" w:firstLine="0"/>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DF">
      <w:pPr>
        <w:spacing w:after="60" w:before="6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E0">
      <w:pPr>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E1">
      <w:pPr>
        <w:jc w:val="right"/>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Firmato Digitalmente</w:t>
      </w:r>
    </w:p>
    <w:p w:rsidR="00000000" w:rsidDel="00000000" w:rsidP="00000000" w:rsidRDefault="00000000" w:rsidRPr="00000000" w14:paraId="000000E2">
      <w:pPr>
        <w:jc w:val="both"/>
        <w:rPr>
          <w:rFonts w:ascii="Open Sans Light" w:cs="Open Sans Light" w:eastAsia="Open Sans Light" w:hAnsi="Open Sans Light"/>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993" w:left="1134" w:right="1134" w:header="708"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 w:name="Open Sans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-166369</wp:posOffset>
          </wp:positionV>
          <wp:extent cx="5736590" cy="158750"/>
          <wp:effectExtent b="0" l="0" r="0" t="0"/>
          <wp:wrapNone/>
          <wp:docPr id="19850100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6590" cy="15875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Open Sans Light" w:cs="Open Sans Light" w:eastAsia="Open Sans Light" w:hAnsi="Open Sans Light"/>
          <w:color w:val="000000"/>
          <w:sz w:val="20"/>
          <w:szCs w:val="20"/>
        </w:rPr>
      </w:pPr>
      <w:r w:rsidDel="00000000" w:rsidR="00000000" w:rsidRPr="00000000">
        <w:rPr>
          <w:rStyle w:val="FootnoteReference"/>
          <w:vertAlign w:val="superscript"/>
        </w:rPr>
        <w:footnoteRef/>
      </w:r>
      <w:r w:rsidDel="00000000" w:rsidR="00000000" w:rsidRPr="00000000">
        <w:rPr>
          <w:rFonts w:ascii="Open Sans Light" w:cs="Open Sans Light" w:eastAsia="Open Sans Light" w:hAnsi="Open Sans Light"/>
          <w:color w:val="000000"/>
          <w:sz w:val="20"/>
          <w:szCs w:val="20"/>
          <w:rtl w:val="0"/>
        </w:rPr>
        <w:t xml:space="preserve"> </w:t>
      </w:r>
      <w:r w:rsidDel="00000000" w:rsidR="00000000" w:rsidRPr="00000000">
        <w:rPr>
          <w:rFonts w:ascii="Open Sans Light" w:cs="Open Sans Light" w:eastAsia="Open Sans Light" w:hAnsi="Open Sans Light"/>
          <w:color w:val="000000"/>
          <w:sz w:val="16"/>
          <w:szCs w:val="16"/>
          <w:rtl w:val="0"/>
        </w:rPr>
        <w:t xml:space="preserve">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Del="00000000" w:rsidR="00000000" w:rsidRPr="00000000">
        <w:rPr>
          <w:rFonts w:ascii="Open Sans Light" w:cs="Open Sans Light" w:eastAsia="Open Sans Light" w:hAnsi="Open Sans Light"/>
          <w:color w:val="000000"/>
          <w:sz w:val="16"/>
          <w:szCs w:val="16"/>
          <w:highlight w:val="yellow"/>
          <w:rtl w:val="0"/>
        </w:rPr>
        <w:t xml:space="preserve"> </w:t>
      </w:r>
      <w:r w:rsidDel="00000000" w:rsidR="00000000" w:rsidRPr="00000000">
        <w:rPr>
          <w:rtl w:val="0"/>
        </w:rPr>
      </w:r>
    </w:p>
  </w:footnote>
  <w:footnote w:id="1">
    <w:p w:rsidR="00000000" w:rsidDel="00000000" w:rsidP="00000000" w:rsidRDefault="00000000" w:rsidRPr="00000000" w14:paraId="000000E4">
      <w:pPr>
        <w:rPr>
          <w:rFonts w:ascii="Open Sans Light" w:cs="Open Sans Light" w:eastAsia="Open Sans Light" w:hAnsi="Open Sans Light"/>
          <w:sz w:val="16"/>
          <w:szCs w:val="16"/>
        </w:rPr>
      </w:pPr>
      <w:r w:rsidDel="00000000" w:rsidR="00000000" w:rsidRPr="00000000">
        <w:rPr>
          <w:rStyle w:val="FootnoteReference"/>
          <w:vertAlign w:val="superscript"/>
        </w:rPr>
        <w:footnoteRef/>
      </w:r>
      <w:r w:rsidDel="00000000" w:rsidR="00000000" w:rsidRPr="00000000">
        <w:rPr>
          <w:rFonts w:ascii="Open Sans Light" w:cs="Open Sans Light" w:eastAsia="Open Sans Light" w:hAnsi="Open Sans Light"/>
          <w:vertAlign w:val="superscript"/>
          <w:rtl w:val="0"/>
        </w:rPr>
        <w:t xml:space="preserve"> </w:t>
      </w:r>
      <w:r w:rsidDel="00000000" w:rsidR="00000000" w:rsidRPr="00000000">
        <w:rPr>
          <w:rFonts w:ascii="Open Sans Light" w:cs="Open Sans Light" w:eastAsia="Open Sans Light" w:hAnsi="Open Sans Light"/>
          <w:sz w:val="16"/>
          <w:szCs w:val="16"/>
          <w:rtl w:val="0"/>
        </w:rPr>
        <w:t xml:space="preserve">Le dichiarazioni devono essere rese dal titolare /rappresentante legale/institore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dell'Operatore singolo,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dei consorzi di cui all’articolo 65, comma 2, lettere b) e c) del Codice.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dei consorzi stabili di cui all’articolo 65, comma 2, lett. d) del Codice,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della Mandataria /Capofila nel caso di RTI o Consorzi Ordinari costituiti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di tutte le imprese raggruppate in un RTI nel caso di RTI ancora da costituire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di tutte le imprese consorziate che partecipano alla gara nel caso di un Consorzio Ordinario ancora da costituire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dell’impresa retista che riveste la funzione di organo comune nel caso di rete dotata di organo comune con potere di rappresentanza e con/senza soggettività giuridica;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 Gruppo Europeo Interesse Economico</w:t>
      </w:r>
    </w:p>
  </w:footnote>
  <w:footnote w:id="2">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rFonts w:ascii="Open Sans Light" w:cs="Open Sans Light" w:eastAsia="Open Sans Light" w:hAnsi="Open Sans Light"/>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w:t>
      </w:r>
      <w:r w:rsidDel="00000000" w:rsidR="00000000" w:rsidRPr="00000000">
        <w:rPr>
          <w:rFonts w:ascii="Open Sans Light" w:cs="Open Sans Light" w:eastAsia="Open Sans Light" w:hAnsi="Open Sans Light"/>
          <w:color w:val="000000"/>
          <w:sz w:val="16"/>
          <w:szCs w:val="16"/>
          <w:rtl w:val="0"/>
        </w:rPr>
        <w:t xml:space="preserve">Si ricorda che questa riduzione non è cumulabile con quella di cui al punto precedente. Pertanto, chi beneficia di questa riduzione non può indicare anche la precedente.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819"/>
        <w:tab w:val="right" w:leader="none" w:pos="9638"/>
        <w:tab w:val="left" w:leader="none" w:pos="2552"/>
      </w:tabs>
      <w:spacing w:after="0" w:line="240" w:lineRule="auto"/>
      <w:rPr>
        <w:color w:val="000000"/>
      </w:rPr>
    </w:pPr>
    <w:r w:rsidDel="00000000" w:rsidR="00000000" w:rsidRPr="00000000">
      <w:rPr>
        <w:color w:val="000000"/>
      </w:rPr>
      <w:drawing>
        <wp:inline distB="0" distT="0" distL="0" distR="0">
          <wp:extent cx="2157730" cy="739775"/>
          <wp:effectExtent b="0" l="0" r="0" t="0"/>
          <wp:docPr descr="Immagine che contiene Elementi grafici, Carattere, grafica, schermata&#10;&#10;Descrizione generata automaticamente" id="1985010019" name="image2.png"/>
          <a:graphic>
            <a:graphicData uri="http://schemas.openxmlformats.org/drawingml/2006/picture">
              <pic:pic>
                <pic:nvPicPr>
                  <pic:cNvPr descr="Immagine che contiene Elementi grafici, Carattere, grafica, schermata&#10;&#10;Descrizione generata automaticamente" id="0" name="image2.png"/>
                  <pic:cNvPicPr preferRelativeResize="0"/>
                </pic:nvPicPr>
                <pic:blipFill>
                  <a:blip r:embed="rId1"/>
                  <a:srcRect b="0" l="0" r="0" t="0"/>
                  <a:stretch>
                    <a:fillRect/>
                  </a:stretch>
                </pic:blipFill>
                <pic:spPr>
                  <a:xfrm>
                    <a:off x="0" y="0"/>
                    <a:ext cx="2157730" cy="739775"/>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aramond" w:cs="Garamond" w:eastAsia="Garamond" w:hAnsi="Garamond"/>
        <w:b w:val="1"/>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
    <w:lvl w:ilvl="0">
      <w:start w:val="1"/>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644" w:hanging="358.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rsid w:val="0097609E"/>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Corpotesto"/>
    <w:uiPriority w:val="10"/>
    <w:qFormat w:val="1"/>
    <w:pPr>
      <w:keepNext w:val="1"/>
      <w:spacing w:after="120" w:before="240"/>
    </w:pPr>
    <w:rPr>
      <w:rFonts w:ascii="Liberation Sans" w:cs="Lucida Sans" w:eastAsia="Microsoft YaHei" w:hAnsi="Liberation Sans"/>
      <w:sz w:val="28"/>
      <w:szCs w:val="28"/>
    </w:rPr>
  </w:style>
  <w:style w:type="character" w:styleId="TestonotaapidipaginaCarattere" w:customStyle="1">
    <w:name w:val="Testo nota a piè di pagina Carattere"/>
    <w:basedOn w:val="Carpredefinitoparagrafo"/>
    <w:link w:val="Testonotaapidipagina"/>
    <w:uiPriority w:val="99"/>
    <w:semiHidden w:val="1"/>
    <w:qFormat w:val="1"/>
    <w:rsid w:val="00581B85"/>
    <w:rPr>
      <w:sz w:val="20"/>
      <w:szCs w:val="20"/>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Carpredefinitoparagrafo"/>
    <w:uiPriority w:val="99"/>
    <w:semiHidden w:val="1"/>
    <w:unhideWhenUsed w:val="1"/>
    <w:qFormat w:val="1"/>
    <w:rsid w:val="00581B85"/>
    <w:rPr>
      <w:vertAlign w:val="superscript"/>
    </w:rPr>
  </w:style>
  <w:style w:type="character" w:styleId="Rimandocommento">
    <w:name w:val="annotation reference"/>
    <w:basedOn w:val="Carpredefinitoparagrafo"/>
    <w:uiPriority w:val="99"/>
    <w:semiHidden w:val="1"/>
    <w:unhideWhenUsed w:val="1"/>
    <w:qFormat w:val="1"/>
    <w:rsid w:val="00A94BD0"/>
    <w:rPr>
      <w:sz w:val="16"/>
      <w:szCs w:val="16"/>
    </w:rPr>
  </w:style>
  <w:style w:type="character" w:styleId="TestocommentoCarattere" w:customStyle="1">
    <w:name w:val="Testo commento Carattere"/>
    <w:basedOn w:val="Carpredefinitoparagrafo"/>
    <w:link w:val="Testocommento"/>
    <w:uiPriority w:val="99"/>
    <w:qFormat w:val="1"/>
    <w:rsid w:val="00A94BD0"/>
    <w:rPr>
      <w:sz w:val="20"/>
      <w:szCs w:val="20"/>
    </w:rPr>
  </w:style>
  <w:style w:type="character" w:styleId="SoggettocommentoCarattere" w:customStyle="1">
    <w:name w:val="Soggetto commento Carattere"/>
    <w:basedOn w:val="TestocommentoCarattere"/>
    <w:link w:val="Soggettocommento"/>
    <w:uiPriority w:val="99"/>
    <w:semiHidden w:val="1"/>
    <w:qFormat w:val="1"/>
    <w:rsid w:val="00A94BD0"/>
    <w:rPr>
      <w:b w:val="1"/>
      <w:bCs w:val="1"/>
      <w:sz w:val="20"/>
      <w:szCs w:val="20"/>
    </w:rPr>
  </w:style>
  <w:style w:type="character" w:styleId="TestofumettoCarattere" w:customStyle="1">
    <w:name w:val="Testo fumetto Carattere"/>
    <w:basedOn w:val="Carpredefinitoparagrafo"/>
    <w:link w:val="Testofumetto"/>
    <w:uiPriority w:val="99"/>
    <w:semiHidden w:val="1"/>
    <w:qFormat w:val="1"/>
    <w:rsid w:val="00A94BD0"/>
    <w:rPr>
      <w:rFonts w:ascii="Segoe UI" w:cs="Segoe UI" w:hAnsi="Segoe UI"/>
      <w:sz w:val="18"/>
      <w:szCs w:val="18"/>
    </w:rPr>
  </w:style>
  <w:style w:type="character" w:styleId="ui-provider" w:customStyle="1">
    <w:name w:val="ui-provider"/>
    <w:basedOn w:val="Carpredefinitoparagrafo"/>
    <w:qFormat w:val="1"/>
    <w:rsid w:val="00C7435B"/>
  </w:style>
  <w:style w:type="character" w:styleId="NumeroelencoCarattere" w:customStyle="1">
    <w:name w:val="Numero elenco Carattere"/>
    <w:link w:val="Numeroelenco"/>
    <w:qFormat w:val="1"/>
    <w:rsid w:val="00522A93"/>
    <w:rPr>
      <w:rFonts w:ascii="Trebuchet MS" w:cs="Times New Roman" w:eastAsia="Times New Roman" w:hAnsi="Trebuchet MS"/>
      <w:kern w:val="2"/>
      <w:sz w:val="20"/>
      <w:szCs w:val="24"/>
      <w:lang w:eastAsia="it-IT"/>
    </w:rPr>
  </w:style>
  <w:style w:type="character" w:styleId="IntestazioneCarattere" w:customStyle="1">
    <w:name w:val="Intestazione Carattere"/>
    <w:basedOn w:val="Carpredefinitoparagrafo"/>
    <w:link w:val="Intestazione"/>
    <w:uiPriority w:val="99"/>
    <w:qFormat w:val="1"/>
    <w:rsid w:val="00003F30"/>
  </w:style>
  <w:style w:type="character" w:styleId="PidipaginaCarattere" w:customStyle="1">
    <w:name w:val="Piè di pagina Carattere"/>
    <w:basedOn w:val="Carpredefinitoparagrafo"/>
    <w:link w:val="Pidipagina"/>
    <w:uiPriority w:val="99"/>
    <w:qFormat w:val="1"/>
    <w:rsid w:val="00003F30"/>
  </w:style>
  <w:style w:type="character" w:styleId="Caratterinotaapidipagina" w:customStyle="1">
    <w:name w:val="Caratteri nota a piè di pagina"/>
    <w:qFormat w:val="1"/>
  </w:style>
  <w:style w:type="character" w:styleId="Numerazionerighe" w:customStyle="1">
    <w:name w:val="Numerazione righe"/>
  </w:style>
  <w:style w:type="character" w:styleId="Richiamoallanotadichiusura" w:customStyle="1">
    <w:name w:val="Richiamo alla nota di chiusura"/>
    <w:rPr>
      <w:vertAlign w:val="superscript"/>
    </w:rPr>
  </w:style>
  <w:style w:type="character" w:styleId="Caratterinotadichiusura" w:customStyle="1">
    <w:name w:val="Caratteri nota di chiusura"/>
    <w:qFormat w:val="1"/>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val="1"/>
    <w:pPr>
      <w:suppressLineNumbers w:val="1"/>
      <w:spacing w:after="120" w:before="120"/>
    </w:pPr>
    <w:rPr>
      <w:rFonts w:cs="Lucida Sans"/>
      <w:i w:val="1"/>
      <w:iCs w:val="1"/>
      <w:sz w:val="24"/>
      <w:szCs w:val="24"/>
    </w:rPr>
  </w:style>
  <w:style w:type="paragraph" w:styleId="Indice" w:customStyle="1">
    <w:name w:val="Indice"/>
    <w:basedOn w:val="Normale"/>
    <w:qFormat w:val="1"/>
    <w:pPr>
      <w:suppressLineNumbers w:val="1"/>
    </w:pPr>
    <w:rPr>
      <w:rFonts w:cs="Lucida Sans"/>
    </w:rPr>
  </w:style>
  <w:style w:type="paragraph" w:styleId="Testonotaapidipagina">
    <w:name w:val="footnote text"/>
    <w:basedOn w:val="Normale"/>
    <w:link w:val="TestonotaapidipaginaCarattere"/>
    <w:uiPriority w:val="99"/>
    <w:semiHidden w:val="1"/>
    <w:unhideWhenUsed w:val="1"/>
    <w:rsid w:val="00581B85"/>
    <w:pPr>
      <w:spacing w:after="0" w:line="240" w:lineRule="auto"/>
    </w:pPr>
    <w:rPr>
      <w:sz w:val="20"/>
      <w:szCs w:val="20"/>
    </w:rPr>
  </w:style>
  <w:style w:type="paragraph" w:styleId="Paragrafoelenco">
    <w:name w:val="List Paragraph"/>
    <w:basedOn w:val="Normale"/>
    <w:uiPriority w:val="34"/>
    <w:qFormat w:val="1"/>
    <w:rsid w:val="00F77ED5"/>
    <w:pPr>
      <w:ind w:left="720"/>
      <w:contextualSpacing w:val="1"/>
    </w:pPr>
  </w:style>
  <w:style w:type="paragraph" w:styleId="Testocommento">
    <w:name w:val="annotation text"/>
    <w:basedOn w:val="Normale"/>
    <w:link w:val="TestocommentoCarattere"/>
    <w:uiPriority w:val="99"/>
    <w:unhideWhenUsed w:val="1"/>
    <w:qFormat w:val="1"/>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val="1"/>
    <w:unhideWhenUsed w:val="1"/>
    <w:qFormat w:val="1"/>
    <w:rsid w:val="00A94BD0"/>
    <w:rPr>
      <w:b w:val="1"/>
      <w:bCs w:val="1"/>
    </w:rPr>
  </w:style>
  <w:style w:type="paragraph" w:styleId="Testofumetto">
    <w:name w:val="Balloon Text"/>
    <w:basedOn w:val="Normale"/>
    <w:link w:val="TestofumettoCarattere"/>
    <w:uiPriority w:val="99"/>
    <w:semiHidden w:val="1"/>
    <w:unhideWhenUsed w:val="1"/>
    <w:qFormat w:val="1"/>
    <w:rsid w:val="00A94BD0"/>
    <w:pPr>
      <w:spacing w:after="0" w:line="240" w:lineRule="auto"/>
    </w:pPr>
    <w:rPr>
      <w:rFonts w:ascii="Segoe UI" w:cs="Segoe UI" w:hAnsi="Segoe UI"/>
      <w:sz w:val="18"/>
      <w:szCs w:val="18"/>
    </w:rPr>
  </w:style>
  <w:style w:type="paragraph" w:styleId="Revisione">
    <w:name w:val="Revision"/>
    <w:uiPriority w:val="99"/>
    <w:semiHidden w:val="1"/>
    <w:qFormat w:val="1"/>
    <w:rsid w:val="00011F9E"/>
  </w:style>
  <w:style w:type="paragraph" w:styleId="Numeroelenco">
    <w:name w:val="List Number"/>
    <w:basedOn w:val="Normale"/>
    <w:link w:val="NumeroelencoCarattere"/>
    <w:qFormat w:val="1"/>
    <w:rsid w:val="00522A93"/>
    <w:pPr>
      <w:widowControl w:val="0"/>
      <w:numPr>
        <w:numId w:val="6"/>
      </w:numPr>
      <w:spacing w:after="0" w:line="300" w:lineRule="exact"/>
      <w:jc w:val="both"/>
    </w:pPr>
    <w:rPr>
      <w:rFonts w:ascii="Trebuchet MS" w:cs="Times New Roman" w:eastAsia="Times New Roman" w:hAnsi="Trebuchet MS"/>
      <w:kern w:val="2"/>
      <w:sz w:val="20"/>
      <w:szCs w:val="24"/>
    </w:rPr>
  </w:style>
  <w:style w:type="paragraph" w:styleId="Intestazioneepidipagina" w:customStyle="1">
    <w:name w:val="Intestazione e piè di pagina"/>
    <w:basedOn w:val="Normale"/>
    <w:qFormat w:val="1"/>
  </w:style>
  <w:style w:type="paragraph" w:styleId="Intestazione">
    <w:name w:val="header"/>
    <w:basedOn w:val="Normale"/>
    <w:link w:val="IntestazioneCarattere"/>
    <w:uiPriority w:val="99"/>
    <w:unhideWhenUsed w:val="1"/>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val="1"/>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notaapidipagina">
    <w:name w:val="footnote reference"/>
    <w:basedOn w:val="Carpredefinitoparagrafo"/>
    <w:uiPriority w:val="99"/>
    <w:semiHidden w:val="1"/>
    <w:unhideWhenUsed w:val="1"/>
    <w:rsid w:val="00942E88"/>
    <w:rPr>
      <w:vertAlign w:val="superscript"/>
    </w:rPr>
  </w:style>
  <w:style w:type="paragraph" w:styleId="NormaleWeb">
    <w:name w:val="Normal (Web)"/>
    <w:basedOn w:val="Normale"/>
    <w:uiPriority w:val="99"/>
    <w:semiHidden w:val="1"/>
    <w:unhideWhenUsed w:val="1"/>
    <w:rsid w:val="00DA489C"/>
    <w:pPr>
      <w:spacing w:after="100" w:afterAutospacing="1" w:before="100" w:beforeAutospacing="1" w:line="240" w:lineRule="auto"/>
    </w:pPr>
    <w:rPr>
      <w:rFonts w:ascii="Times New Roman" w:cs="Times New Roman" w:eastAsia="Times New Roman" w:hAnsi="Times New Roman"/>
      <w:sz w:val="24"/>
      <w:szCs w:val="24"/>
    </w:rPr>
  </w:style>
  <w:style w:type="character" w:styleId="Collegamentoipertestuale">
    <w:name w:val="Hyperlink"/>
    <w:basedOn w:val="Carpredefinitoparagrafo"/>
    <w:uiPriority w:val="99"/>
    <w:unhideWhenUsed w:val="1"/>
    <w:rsid w:val="00030DEC"/>
    <w:rPr>
      <w:color w:val="0563c1" w:themeColor="hyperlink"/>
      <w:u w:val="single"/>
    </w:rPr>
  </w:style>
  <w:style w:type="character" w:styleId="Menzionenonrisolta">
    <w:name w:val="Unresolved Mention"/>
    <w:basedOn w:val="Carpredefinitoparagrafo"/>
    <w:uiPriority w:val="99"/>
    <w:semiHidden w:val="1"/>
    <w:unhideWhenUsed w:val="1"/>
    <w:rsid w:val="00030DEC"/>
    <w:rPr>
      <w:color w:val="605e5c"/>
      <w:shd w:color="auto" w:fill="e1dfdd" w:val="clear"/>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eneatechbiomedical.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OpenSansLight-boldItalic.ttf"/><Relationship Id="rId9" Type="http://schemas.openxmlformats.org/officeDocument/2006/relationships/font" Target="fonts/OpenSansLight-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Light-regular.ttf"/><Relationship Id="rId8" Type="http://schemas.openxmlformats.org/officeDocument/2006/relationships/font" Target="fonts/OpenSansLight-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vWnyfTqx+N7KntLdRtLOdz5A==">CgMxLjA4AHIhMUhPenNTbWtEQllPRUZ2Q0lMVTB5bnQzSERtWU1GelB1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2024-02-06T09:47:00Z</dcterms:created>
  <dc:creator>Labbadia Alessia</dc:creator>
</cp:coreProperties>
</file>